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4A" w:rsidRDefault="001F2E4A" w:rsidP="001F2E4A">
      <w:pPr>
        <w:spacing w:line="360" w:lineRule="auto"/>
        <w:jc w:val="center"/>
        <w:rPr>
          <w:rFonts w:asciiTheme="majorHAnsi" w:hAnsiTheme="majorHAnsi" w:cstheme="majorHAnsi"/>
          <w:b/>
        </w:rPr>
      </w:pPr>
    </w:p>
    <w:p w:rsidR="001F2E4A" w:rsidRDefault="001F2E4A" w:rsidP="001F2E4A">
      <w:pPr>
        <w:spacing w:line="360" w:lineRule="auto"/>
        <w:jc w:val="center"/>
        <w:rPr>
          <w:rFonts w:asciiTheme="majorHAnsi" w:hAnsiTheme="majorHAnsi" w:cstheme="majorHAnsi"/>
          <w:b/>
        </w:rPr>
      </w:pPr>
    </w:p>
    <w:p w:rsidR="001F2E4A" w:rsidRDefault="001F2E4A" w:rsidP="001F2E4A">
      <w:pPr>
        <w:spacing w:line="360" w:lineRule="auto"/>
        <w:jc w:val="center"/>
        <w:rPr>
          <w:rFonts w:asciiTheme="majorHAnsi" w:hAnsiTheme="majorHAnsi" w:cstheme="majorHAnsi"/>
          <w:b/>
        </w:rPr>
      </w:pPr>
    </w:p>
    <w:p w:rsidR="001F2E4A" w:rsidRDefault="001F2E4A" w:rsidP="001F2E4A">
      <w:pPr>
        <w:spacing w:line="360" w:lineRule="auto"/>
        <w:jc w:val="center"/>
        <w:rPr>
          <w:rFonts w:asciiTheme="majorHAnsi" w:hAnsiTheme="majorHAnsi" w:cstheme="majorHAnsi"/>
          <w:b/>
        </w:rPr>
      </w:pPr>
      <w:r w:rsidRPr="001F2E4A">
        <w:rPr>
          <w:rFonts w:asciiTheme="majorHAnsi" w:hAnsiTheme="majorHAnsi" w:cstheme="majorHAnsi"/>
          <w:b/>
        </w:rPr>
        <w:t>HELDER PACHECO</w:t>
      </w:r>
    </w:p>
    <w:p w:rsidR="001F2E4A" w:rsidRPr="001F2E4A" w:rsidRDefault="001F2E4A" w:rsidP="001F2E4A">
      <w:pPr>
        <w:spacing w:line="360" w:lineRule="auto"/>
        <w:jc w:val="center"/>
        <w:rPr>
          <w:rFonts w:asciiTheme="majorHAnsi" w:hAnsiTheme="majorHAnsi" w:cstheme="majorHAnsi"/>
          <w:b/>
        </w:rPr>
      </w:pPr>
    </w:p>
    <w:p w:rsidR="00D72EE7" w:rsidRPr="001F2E4A" w:rsidRDefault="00D72EE7" w:rsidP="00D72EE7">
      <w:pPr>
        <w:spacing w:line="360" w:lineRule="auto"/>
        <w:jc w:val="both"/>
        <w:rPr>
          <w:rFonts w:asciiTheme="majorHAnsi" w:hAnsiTheme="majorHAnsi" w:cstheme="majorHAnsi"/>
        </w:rPr>
      </w:pPr>
      <w:r w:rsidRPr="001F2E4A">
        <w:rPr>
          <w:rFonts w:asciiTheme="majorHAnsi" w:hAnsiTheme="majorHAnsi" w:cstheme="majorHAnsi"/>
        </w:rPr>
        <w:t>Orienta várias unidades culturais sobre património cultural e história da cidade do Porto no Instituto Cultural D</w:t>
      </w:r>
      <w:r w:rsidR="001F2E4A" w:rsidRPr="001F2E4A">
        <w:rPr>
          <w:rFonts w:asciiTheme="majorHAnsi" w:hAnsiTheme="majorHAnsi" w:cstheme="majorHAnsi"/>
        </w:rPr>
        <w:t xml:space="preserve">. </w:t>
      </w:r>
      <w:r w:rsidRPr="001F2E4A">
        <w:rPr>
          <w:rFonts w:asciiTheme="majorHAnsi" w:hAnsiTheme="majorHAnsi" w:cstheme="majorHAnsi"/>
        </w:rPr>
        <w:t>António Ferreira Gomes</w:t>
      </w:r>
      <w:r w:rsidR="00934E50">
        <w:rPr>
          <w:rFonts w:asciiTheme="majorHAnsi" w:hAnsiTheme="majorHAnsi" w:cstheme="majorHAnsi"/>
        </w:rPr>
        <w:t xml:space="preserve">, </w:t>
      </w:r>
      <w:r w:rsidRPr="001F2E4A">
        <w:rPr>
          <w:rFonts w:asciiTheme="majorHAnsi" w:hAnsiTheme="majorHAnsi" w:cstheme="majorHAnsi"/>
        </w:rPr>
        <w:t>desde a sua fundação</w:t>
      </w:r>
      <w:r w:rsidR="00934E50">
        <w:rPr>
          <w:rFonts w:asciiTheme="majorHAnsi" w:hAnsiTheme="majorHAnsi" w:cstheme="majorHAnsi"/>
        </w:rPr>
        <w:t xml:space="preserve">, </w:t>
      </w:r>
      <w:bookmarkStart w:id="0" w:name="_GoBack"/>
      <w:bookmarkEnd w:id="0"/>
      <w:r w:rsidRPr="001F2E4A">
        <w:rPr>
          <w:rFonts w:asciiTheme="majorHAnsi" w:hAnsiTheme="majorHAnsi" w:cstheme="majorHAnsi"/>
        </w:rPr>
        <w:t xml:space="preserve"> em 1997.</w:t>
      </w:r>
    </w:p>
    <w:p w:rsidR="00D72EE7" w:rsidRPr="001F2E4A" w:rsidRDefault="001F2E4A" w:rsidP="00D72EE7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F2E4A">
        <w:rPr>
          <w:rFonts w:asciiTheme="majorHAnsi" w:hAnsiTheme="majorHAnsi" w:cstheme="majorHAnsi"/>
        </w:rPr>
        <w:t>Fez e</w:t>
      </w:r>
      <w:r w:rsidR="00D72EE7" w:rsidRPr="001F2E4A">
        <w:rPr>
          <w:rFonts w:asciiTheme="majorHAnsi" w:hAnsiTheme="majorHAnsi" w:cstheme="majorHAnsi"/>
        </w:rPr>
        <w:t xml:space="preserve">studos de Belas Artes, Ciências Pedagógicas e História. </w:t>
      </w:r>
      <w:r w:rsidRPr="001F2E4A">
        <w:rPr>
          <w:rFonts w:asciiTheme="majorHAnsi" w:hAnsiTheme="majorHAnsi" w:cstheme="majorHAnsi"/>
        </w:rPr>
        <w:t xml:space="preserve">Frequentou </w:t>
      </w:r>
      <w:r w:rsidR="00D72EE7" w:rsidRPr="001F2E4A">
        <w:rPr>
          <w:rFonts w:asciiTheme="majorHAnsi" w:hAnsiTheme="majorHAnsi" w:cstheme="majorHAnsi"/>
        </w:rPr>
        <w:t>Cursos ou Seminários de formação nas áreas da Educação e Património Cultural na Nova Universidade do Ulster e em Newcastle, Manchester, York e Bordéus</w:t>
      </w:r>
      <w:r w:rsidRPr="001F2E4A">
        <w:rPr>
          <w:rFonts w:asciiTheme="majorHAnsi" w:hAnsiTheme="majorHAnsi" w:cstheme="majorHAnsi"/>
        </w:rPr>
        <w:t xml:space="preserve"> e </w:t>
      </w:r>
      <w:r w:rsidR="00D72EE7" w:rsidRPr="001F2E4A">
        <w:rPr>
          <w:rFonts w:asciiTheme="majorHAnsi" w:hAnsiTheme="majorHAnsi" w:cstheme="majorHAnsi"/>
        </w:rPr>
        <w:t xml:space="preserve">Estágio no </w:t>
      </w:r>
      <w:proofErr w:type="spellStart"/>
      <w:r w:rsidR="00D72EE7" w:rsidRPr="001F2E4A">
        <w:rPr>
          <w:rFonts w:asciiTheme="majorHAnsi" w:hAnsiTheme="majorHAnsi" w:cstheme="majorHAnsi"/>
        </w:rPr>
        <w:t>Västerbotten</w:t>
      </w:r>
      <w:proofErr w:type="spellEnd"/>
      <w:r w:rsidR="00D72EE7" w:rsidRPr="001F2E4A">
        <w:rPr>
          <w:rFonts w:asciiTheme="majorHAnsi" w:hAnsiTheme="majorHAnsi" w:cstheme="majorHAnsi"/>
        </w:rPr>
        <w:t xml:space="preserve">, </w:t>
      </w:r>
      <w:proofErr w:type="spellStart"/>
      <w:r w:rsidR="00D72EE7" w:rsidRPr="001F2E4A">
        <w:rPr>
          <w:rFonts w:asciiTheme="majorHAnsi" w:hAnsiTheme="majorHAnsi" w:cstheme="majorHAnsi"/>
        </w:rPr>
        <w:t>Museum</w:t>
      </w:r>
      <w:proofErr w:type="spellEnd"/>
      <w:r w:rsidR="00D72EE7" w:rsidRPr="001F2E4A">
        <w:rPr>
          <w:rFonts w:asciiTheme="majorHAnsi" w:hAnsiTheme="majorHAnsi" w:cstheme="majorHAnsi"/>
        </w:rPr>
        <w:t xml:space="preserve">, de </w:t>
      </w:r>
      <w:proofErr w:type="spellStart"/>
      <w:r w:rsidR="00D72EE7" w:rsidRPr="001F2E4A">
        <w:rPr>
          <w:rFonts w:asciiTheme="majorHAnsi" w:hAnsiTheme="majorHAnsi" w:cstheme="majorHAnsi"/>
        </w:rPr>
        <w:t>Umea</w:t>
      </w:r>
      <w:proofErr w:type="spellEnd"/>
      <w:r w:rsidR="00D72EE7" w:rsidRPr="001F2E4A">
        <w:rPr>
          <w:rFonts w:asciiTheme="majorHAnsi" w:hAnsiTheme="majorHAnsi" w:cstheme="majorHAnsi"/>
        </w:rPr>
        <w:t>, como bolseiro do Instituto Sueco da Cultura, para o estudo das culturas locais.</w:t>
      </w:r>
    </w:p>
    <w:p w:rsidR="00D72EE7" w:rsidRPr="001F2E4A" w:rsidRDefault="001F2E4A" w:rsidP="00D72EE7">
      <w:pPr>
        <w:spacing w:line="360" w:lineRule="auto"/>
        <w:jc w:val="both"/>
        <w:rPr>
          <w:rFonts w:asciiTheme="majorHAnsi" w:hAnsiTheme="majorHAnsi" w:cstheme="majorHAnsi"/>
        </w:rPr>
      </w:pPr>
      <w:r w:rsidRPr="001F2E4A">
        <w:rPr>
          <w:rFonts w:asciiTheme="majorHAnsi" w:hAnsiTheme="majorHAnsi" w:cstheme="majorHAnsi"/>
        </w:rPr>
        <w:t xml:space="preserve">Foi </w:t>
      </w:r>
      <w:r w:rsidR="00D72EE7" w:rsidRPr="001F2E4A">
        <w:rPr>
          <w:rFonts w:asciiTheme="majorHAnsi" w:hAnsiTheme="majorHAnsi" w:cstheme="majorHAnsi"/>
        </w:rPr>
        <w:t>Quadro Técnico Superior do M.E. (Inspecção-Geral da Educação - 1980/1996), Membro da Comissão de Reforma dos Programas de Ensino (1974/1975); da Comissão Nacional da Defesa do Património (1979/80); da Comissão de Defesa do Artesanato da Região Norte (CCRN COMARN) (1980/84); do Conselho Consultivo da SRU do Porto (2004/2014).</w:t>
      </w:r>
    </w:p>
    <w:p w:rsidR="00D72EE7" w:rsidRPr="001F2E4A" w:rsidRDefault="00D72EE7" w:rsidP="00D72EE7">
      <w:pPr>
        <w:spacing w:line="360" w:lineRule="auto"/>
        <w:jc w:val="both"/>
        <w:rPr>
          <w:rFonts w:asciiTheme="majorHAnsi" w:hAnsiTheme="majorHAnsi" w:cstheme="majorHAnsi"/>
        </w:rPr>
      </w:pPr>
      <w:r w:rsidRPr="001F2E4A">
        <w:rPr>
          <w:rFonts w:asciiTheme="majorHAnsi" w:hAnsiTheme="majorHAnsi" w:cstheme="majorHAnsi"/>
        </w:rPr>
        <w:t>Publicou ensaios e estudos sobre Educação nas Revistas “O Professor”, “O Ensino” e “Escola Democrática, e sobre temas de Património Cultural, Tradições Populares e História Social e Cultural do Porto nas revistas “A Razão”, “Movimento Cultural”, “Vértice”, “</w:t>
      </w:r>
      <w:proofErr w:type="spellStart"/>
      <w:r w:rsidRPr="001F2E4A">
        <w:rPr>
          <w:rFonts w:asciiTheme="majorHAnsi" w:hAnsiTheme="majorHAnsi" w:cstheme="majorHAnsi"/>
        </w:rPr>
        <w:t>Mea</w:t>
      </w:r>
      <w:proofErr w:type="spellEnd"/>
      <w:r w:rsidRPr="001F2E4A">
        <w:rPr>
          <w:rFonts w:asciiTheme="majorHAnsi" w:hAnsiTheme="majorHAnsi" w:cstheme="majorHAnsi"/>
        </w:rPr>
        <w:t xml:space="preserve"> Libra”, “Porto de Encontro”, “Sítios e Memórias”, etc. </w:t>
      </w:r>
    </w:p>
    <w:p w:rsidR="00D72EE7" w:rsidRPr="001F2E4A" w:rsidRDefault="00D72EE7" w:rsidP="00D72EE7">
      <w:pPr>
        <w:spacing w:line="360" w:lineRule="auto"/>
        <w:jc w:val="both"/>
        <w:rPr>
          <w:rFonts w:asciiTheme="majorHAnsi" w:hAnsiTheme="majorHAnsi" w:cstheme="majorHAnsi"/>
        </w:rPr>
      </w:pPr>
      <w:r w:rsidRPr="001F2E4A">
        <w:rPr>
          <w:rFonts w:asciiTheme="majorHAnsi" w:hAnsiTheme="majorHAnsi" w:cstheme="majorHAnsi"/>
        </w:rPr>
        <w:t>Colaborou nos jornais “Público”, “O Primeiro de Janeiro”, “Norte Popular” e “Diário”. Cronista do JN desde 1989.</w:t>
      </w:r>
    </w:p>
    <w:p w:rsidR="00D72EE7" w:rsidRPr="001F2E4A" w:rsidRDefault="00D72EE7" w:rsidP="00D72EE7">
      <w:pPr>
        <w:spacing w:line="360" w:lineRule="auto"/>
        <w:jc w:val="both"/>
        <w:rPr>
          <w:rFonts w:asciiTheme="majorHAnsi" w:hAnsiTheme="majorHAnsi" w:cstheme="majorHAnsi"/>
        </w:rPr>
      </w:pPr>
      <w:r w:rsidRPr="001F2E4A">
        <w:rPr>
          <w:rFonts w:asciiTheme="majorHAnsi" w:hAnsiTheme="majorHAnsi" w:cstheme="majorHAnsi"/>
        </w:rPr>
        <w:t>Publicou, entre outras, as obras: Porto (1984); Tradições Populares do Porto (1985); Grande Porto (1986); Portugal: Património Cultural Popular (1987); Porto: Auto-Retrato de uma Cidade (1994); Porto: Um Património da Humanidade (1999); Porto: O Livro do Natal (2002); Porto: O Livro do S. João (2004/05); Porto: Cultura em Movimento (2008); Porto: o Hospital de Santo António no tempo da Cidade (2010); Porto: a Torre da Cidade (2014).</w:t>
      </w:r>
    </w:p>
    <w:p w:rsidR="00051177" w:rsidRDefault="00051177"/>
    <w:sectPr w:rsidR="00051177" w:rsidSect="00066E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51177"/>
    <w:rsid w:val="00051177"/>
    <w:rsid w:val="00066E27"/>
    <w:rsid w:val="001F2E4A"/>
    <w:rsid w:val="004015D7"/>
    <w:rsid w:val="00934E50"/>
    <w:rsid w:val="00D72EE7"/>
    <w:rsid w:val="00FD7B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EE7"/>
    <w:pPr>
      <w:spacing w:line="254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 silva</dc:creator>
  <cp:lastModifiedBy>António Jorge</cp:lastModifiedBy>
  <cp:revision>2</cp:revision>
  <dcterms:created xsi:type="dcterms:W3CDTF">2019-10-21T10:59:00Z</dcterms:created>
  <dcterms:modified xsi:type="dcterms:W3CDTF">2019-10-21T10:59:00Z</dcterms:modified>
</cp:coreProperties>
</file>